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36"/>
          <w:highlight w:val="white"/>
        </w:rPr>
        <w:t xml:space="preserve">Итоги трудоустройства выпускников в 2023 году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1644"/>
        <w:gridCol w:w="2608"/>
        <w:gridCol w:w="2409"/>
        <w:gridCol w:w="1571"/>
        <w:gridCol w:w="1740"/>
        <w:gridCol w:w="1791"/>
      </w:tblGrid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Специальности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Количество выпускников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Трудоустроенные выпускники (всего)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Трудоустроенные выпускники по целевым контрактам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Призваны в вооруженные силы России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Продолжили обучение в Вузах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Находятся в декретном отпуске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09.02.01 Компьютерные системы и комплексы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765"/>
        </w:trPr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09.02.02 Компьютерные сети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36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09.02.04 Информационные системы (по отраслям)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41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1137"/>
        </w:trPr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09.02.07 Информационные системы и программирование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155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54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76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11.02.01 Радиоаппаратос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троение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27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11.02.02 Техническое обслуживание и ремонт радиоэлектронной техники (по отраслям)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15.02.08 Технология машиностроения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533"/>
        </w:trPr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20.02.04 Пожарная безопасность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38.02.07 Банковское дело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39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38.02.01 Экономика и бухгалтерский учет (по отраслям)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6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7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sectPr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2023-09-05T08:16:16Z</dcterms:modified>
</cp:coreProperties>
</file>